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BBAC2" w14:textId="77777777" w:rsidR="003C4024" w:rsidRDefault="003C4024" w:rsidP="003C4024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Додаток</w:t>
      </w:r>
    </w:p>
    <w:p w14:paraId="25286B10" w14:textId="77777777" w:rsidR="003C4024" w:rsidRDefault="003C4024" w:rsidP="003C4024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 рішення Переяславської міської ради</w:t>
      </w:r>
    </w:p>
    <w:p w14:paraId="1A9FFC56" w14:textId="77FA53C1" w:rsidR="003C4024" w:rsidRDefault="003C4024" w:rsidP="003C4024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від ________________</w:t>
      </w:r>
      <w:r w:rsidR="00B03E0B">
        <w:rPr>
          <w:rFonts w:ascii="Times New Roman" w:eastAsia="Times New Roman" w:hAnsi="Times New Roman"/>
          <w:bCs/>
          <w:sz w:val="24"/>
          <w:szCs w:val="24"/>
          <w:lang w:val="hr-HR" w:eastAsia="ru-RU"/>
        </w:rPr>
        <w:t xml:space="preserve">№ </w:t>
      </w:r>
      <w:r w:rsidR="00B03E0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B03E0B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bookmarkStart w:id="0" w:name="_GoBack"/>
      <w:bookmarkEnd w:id="0"/>
      <w:r w:rsidR="00B03E0B">
        <w:rPr>
          <w:rFonts w:ascii="Times New Roman" w:eastAsia="Times New Roman" w:hAnsi="Times New Roman"/>
          <w:bCs/>
          <w:sz w:val="24"/>
          <w:szCs w:val="24"/>
          <w:lang w:eastAsia="ru-RU"/>
        </w:rPr>
        <w:t>п-125-</w:t>
      </w:r>
      <w:r w:rsidR="00B03E0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14:paraId="06A03993" w14:textId="77777777" w:rsidR="003C4024" w:rsidRDefault="003C4024" w:rsidP="003C4024">
      <w:pPr>
        <w:rPr>
          <w:rFonts w:ascii="Times New Roman" w:hAnsi="Times New Roman" w:cs="Times New Roman"/>
          <w:sz w:val="20"/>
          <w:szCs w:val="20"/>
        </w:rPr>
      </w:pPr>
    </w:p>
    <w:p w14:paraId="4BCD7712" w14:textId="77777777" w:rsidR="003C4024" w:rsidRDefault="003C4024" w:rsidP="003C4024">
      <w:pPr>
        <w:tabs>
          <w:tab w:val="left" w:pos="371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Положення про службу у справах</w:t>
      </w:r>
    </w:p>
    <w:p w14:paraId="245DCFFF" w14:textId="77777777" w:rsidR="003C4024" w:rsidRDefault="003C4024" w:rsidP="003C4024">
      <w:pPr>
        <w:tabs>
          <w:tab w:val="left" w:pos="371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дітей та сім’ї Переяславської міської ради</w:t>
      </w:r>
    </w:p>
    <w:p w14:paraId="3E01370A" w14:textId="77777777" w:rsidR="003C4024" w:rsidRDefault="003C4024" w:rsidP="003C4024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color w:val="333333"/>
        </w:rPr>
      </w:pPr>
      <w:r>
        <w:rPr>
          <w:rStyle w:val="rvts15"/>
          <w:b/>
          <w:bCs/>
          <w:color w:val="333333"/>
          <w:sz w:val="28"/>
          <w:szCs w:val="28"/>
        </w:rPr>
        <w:t>I. Загальні положення</w:t>
      </w:r>
    </w:p>
    <w:p w14:paraId="4FA9467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284"/>
        <w:jc w:val="both"/>
        <w:rPr>
          <w:color w:val="333333"/>
          <w:sz w:val="28"/>
          <w:szCs w:val="28"/>
        </w:rPr>
      </w:pPr>
      <w:bookmarkStart w:id="1" w:name="n17"/>
      <w:bookmarkEnd w:id="1"/>
      <w:r>
        <w:rPr>
          <w:color w:val="333333"/>
          <w:sz w:val="28"/>
          <w:szCs w:val="28"/>
        </w:rPr>
        <w:t>1.1. Служба у справах дітей та сім’ї Переяславської міської ради (далі - Служба) утворюється міською радою та є підзвітною, підконтрольною та підпорядкованою міській раді та міському голові.</w:t>
      </w:r>
    </w:p>
    <w:p w14:paraId="2C00EFD0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284"/>
        <w:jc w:val="both"/>
        <w:rPr>
          <w:color w:val="333333"/>
          <w:sz w:val="28"/>
          <w:szCs w:val="28"/>
        </w:rPr>
      </w:pPr>
      <w:bookmarkStart w:id="2" w:name="n18"/>
      <w:bookmarkEnd w:id="2"/>
      <w:r>
        <w:rPr>
          <w:color w:val="333333"/>
          <w:sz w:val="28"/>
          <w:szCs w:val="28"/>
        </w:rPr>
        <w:t>1.2. Служба має право юридичної особи та в межах, визначених законодавством України, приймає самостійні рішення, які оформляються актами та наказами за підписом керівника Служби.</w:t>
      </w:r>
    </w:p>
    <w:p w14:paraId="3AFCDB5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284"/>
        <w:jc w:val="both"/>
        <w:rPr>
          <w:color w:val="333333"/>
          <w:sz w:val="28"/>
          <w:szCs w:val="28"/>
        </w:rPr>
      </w:pPr>
      <w:bookmarkStart w:id="3" w:name="n19"/>
      <w:bookmarkEnd w:id="3"/>
      <w:r>
        <w:rPr>
          <w:color w:val="333333"/>
          <w:sz w:val="28"/>
          <w:szCs w:val="28"/>
        </w:rPr>
        <w:t>1.3. Служба у своїй діяльності керується </w:t>
      </w:r>
      <w:hyperlink r:id="rId4" w:tgtFrame="_blank" w:history="1">
        <w:r>
          <w:rPr>
            <w:rStyle w:val="a3"/>
            <w:color w:val="auto"/>
            <w:sz w:val="28"/>
            <w:szCs w:val="28"/>
            <w:u w:val="none"/>
          </w:rPr>
          <w:t>Конституцією</w:t>
        </w:r>
      </w:hyperlink>
      <w:r>
        <w:rPr>
          <w:sz w:val="28"/>
          <w:szCs w:val="28"/>
        </w:rPr>
        <w:t> </w:t>
      </w:r>
      <w:r>
        <w:rPr>
          <w:color w:val="333333"/>
          <w:sz w:val="28"/>
          <w:szCs w:val="28"/>
        </w:rPr>
        <w:t xml:space="preserve">і законами України, актами Президента України, Верховної Ради України та Кабінету Міністрів України, наказами </w:t>
      </w:r>
      <w:proofErr w:type="spellStart"/>
      <w:r>
        <w:rPr>
          <w:color w:val="333333"/>
          <w:sz w:val="28"/>
          <w:szCs w:val="28"/>
        </w:rPr>
        <w:t>Мінсоцполітики</w:t>
      </w:r>
      <w:proofErr w:type="spellEnd"/>
      <w:r>
        <w:rPr>
          <w:color w:val="333333"/>
          <w:sz w:val="28"/>
          <w:szCs w:val="28"/>
        </w:rPr>
        <w:t>, наказами начальника служби у справах дітей та сім’ї Київської обласної державної адміністрації, рішеннями міської ради та її виконавчого комітету, розпорядженнями міського голови, іншими нормативними актами органів виконавчої влади та місцевого самоврядування.</w:t>
      </w:r>
    </w:p>
    <w:p w14:paraId="1176D40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28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1.4. Повне найменування – Служба у справах дітей та сім’ї Переяславської міської ради. Скорочене найменування – ССДС Переяславської міської ради.</w:t>
      </w:r>
    </w:p>
    <w:p w14:paraId="16B1A27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28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1.5. </w:t>
      </w:r>
      <w:r>
        <w:rPr>
          <w:sz w:val="28"/>
          <w:szCs w:val="28"/>
        </w:rPr>
        <w:t>Служба є юридичною особою, має самостійний баланс, реєстраційні рахунки в установах Державного казначейства України. Має печатку з зображенням Державного герба України і своїм найменуванням, штамп, відповідні бланки та інші атрибути юридичної особи.</w:t>
      </w:r>
    </w:p>
    <w:p w14:paraId="37B32585" w14:textId="77777777" w:rsidR="003C4024" w:rsidRDefault="003C4024" w:rsidP="003C40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Служба є бюджетною, неприбутковою організацією.</w:t>
      </w:r>
    </w:p>
    <w:p w14:paraId="6EB33B2D" w14:textId="77777777" w:rsidR="003C4024" w:rsidRDefault="003C4024" w:rsidP="003C402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Служба утримується за рахунок коштів, передбачених у бюджеті Переяславської міської територіальної громади, а також з інших джерел не заборонених законодавством.</w:t>
      </w:r>
    </w:p>
    <w:p w14:paraId="6CF221B5" w14:textId="77777777" w:rsidR="003C4024" w:rsidRDefault="003C4024" w:rsidP="003C4024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</w:rPr>
      </w:pPr>
    </w:p>
    <w:p w14:paraId="20042068" w14:textId="77777777" w:rsidR="003C4024" w:rsidRDefault="003C4024" w:rsidP="003C4024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color w:val="333333"/>
        </w:rPr>
      </w:pPr>
      <w:bookmarkStart w:id="4" w:name="n20"/>
      <w:bookmarkEnd w:id="4"/>
      <w:r>
        <w:rPr>
          <w:rStyle w:val="rvts15"/>
          <w:b/>
          <w:bCs/>
          <w:color w:val="333333"/>
          <w:sz w:val="28"/>
          <w:szCs w:val="28"/>
        </w:rPr>
        <w:t>II. Основні завдання та повноваження служби</w:t>
      </w:r>
    </w:p>
    <w:p w14:paraId="595BEEC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" w:name="n21"/>
      <w:bookmarkEnd w:id="5"/>
      <w:r>
        <w:rPr>
          <w:color w:val="333333"/>
          <w:sz w:val="28"/>
          <w:szCs w:val="28"/>
        </w:rPr>
        <w:t>2.1.</w:t>
      </w:r>
      <w:r>
        <w:rPr>
          <w:color w:val="333333"/>
        </w:rPr>
        <w:t xml:space="preserve"> </w:t>
      </w:r>
      <w:r>
        <w:rPr>
          <w:color w:val="333333"/>
          <w:sz w:val="28"/>
          <w:szCs w:val="28"/>
        </w:rPr>
        <w:t>Основними завданнями та повноваженнями служби є:</w:t>
      </w:r>
    </w:p>
    <w:p w14:paraId="36E5111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" w:name="n22"/>
      <w:bookmarkEnd w:id="6"/>
      <w:r>
        <w:rPr>
          <w:color w:val="333333"/>
          <w:sz w:val="28"/>
          <w:szCs w:val="28"/>
        </w:rPr>
        <w:t>1) реалізація на території Переяславської міської територіальної громади державної політики з питань соціального захисту дітей, запобігання дитячій бездоглядності та безпритульності, вчиненню дітьми правопорушень; визначення пріоритетних напрямів поліпшення становища дітей у територіальній громаді, їх соціального захисту, сприяння фізичному, духовному та інтелектуальному розвитку;</w:t>
      </w:r>
    </w:p>
    <w:p w14:paraId="0CCD079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" w:name="n23"/>
      <w:bookmarkEnd w:id="7"/>
      <w:r>
        <w:rPr>
          <w:color w:val="333333"/>
          <w:sz w:val="28"/>
          <w:szCs w:val="28"/>
        </w:rPr>
        <w:t>2) розроблення і проведення самостійно або разом з виконавчими органами міської, відповідними органами виконавчої влади, підприємствами, установами та організаціями усіх форм власності, громадськими об’єднаннями заходів щодо захисту прав, свобод і законних інтересів дітей;</w:t>
      </w:r>
    </w:p>
    <w:p w14:paraId="30A988E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" w:name="n24"/>
      <w:bookmarkEnd w:id="8"/>
      <w:r>
        <w:rPr>
          <w:color w:val="333333"/>
          <w:sz w:val="28"/>
          <w:szCs w:val="28"/>
        </w:rPr>
        <w:t xml:space="preserve">3) організація і проведення разом з виконавчими органами міської  ради, уповноваженими підрозділами органів Національної поліції заходів щодо </w:t>
      </w:r>
      <w:r>
        <w:rPr>
          <w:color w:val="333333"/>
          <w:sz w:val="28"/>
          <w:szCs w:val="28"/>
        </w:rPr>
        <w:lastRenderedPageBreak/>
        <w:t>соціального захисту дітей, виявлення причин, що зумовлюють дитячу бездоглядність і безпритульність, запобігання вчиненню дітьми правопорушень;</w:t>
      </w:r>
    </w:p>
    <w:p w14:paraId="72F58CE2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" w:name="n25"/>
      <w:bookmarkEnd w:id="9"/>
      <w:r>
        <w:rPr>
          <w:color w:val="333333"/>
          <w:sz w:val="28"/>
          <w:szCs w:val="28"/>
        </w:rPr>
        <w:t>4) координація діяльності виконавчих органів міської ради, підприємств, установ та організацій незалежно від форми власності, розташованих на території Переяславської міської територіальної громади, у розв’язанні питань соціального захисту дітей та організації роботи із запобігання дитячій бездоглядності та безпритульності, надання їм у межах компетенції практичної, методичної та консультаційної допомоги в цій сфері;</w:t>
      </w:r>
    </w:p>
    <w:p w14:paraId="512AB62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" w:name="n26"/>
      <w:bookmarkEnd w:id="10"/>
      <w:r>
        <w:rPr>
          <w:color w:val="333333"/>
          <w:sz w:val="28"/>
          <w:szCs w:val="28"/>
        </w:rPr>
        <w:t xml:space="preserve">5) розроблення та подання пропозицій до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місцевих програм, планів і прогнозів щодо соціального захисту, забезпечення прав, свобод і законних інтересів дітей, у тому числі в частині бюджетних асигнувань на виконання відповідних програм і проведення заходів щодо реалізації державної політики з питань дітей, спрямованої на подолання дитячої бездоглядності та безпритульності;</w:t>
      </w:r>
    </w:p>
    <w:p w14:paraId="6E9BFB1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1" w:name="n27"/>
      <w:bookmarkEnd w:id="11"/>
      <w:r>
        <w:rPr>
          <w:color w:val="333333"/>
          <w:sz w:val="28"/>
          <w:szCs w:val="28"/>
        </w:rPr>
        <w:t>6) ведення державної статистики щодо дітей; організація та проведення разом з виконавчими органами міської ради, науковими установами досліджень у сфері соціального захисту дітей, запобігання дитячій бездоглядності та безпритульності, вчиненню дітьми правопорушень; підготовка інформаційно-аналітичних і статистичних матеріалів про причини та умови вчинення дітьми правопорушень; вивчення і поширення міжнародного досвіду з питань соціального захисту дітей та сімей, дотримання їхніх прав та інтересів; підготовка та подання в установленому порядку статистичної звітності;</w:t>
      </w:r>
    </w:p>
    <w:p w14:paraId="70FDAA20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2" w:name="n28"/>
      <w:bookmarkEnd w:id="12"/>
      <w:r>
        <w:rPr>
          <w:color w:val="333333"/>
          <w:sz w:val="28"/>
          <w:szCs w:val="28"/>
        </w:rPr>
        <w:t>7) проведення інформаційно-роз’яснювальної роботи з питань, що належать до компетенції Служби, зокрема, через засоби масової інформації;</w:t>
      </w:r>
    </w:p>
    <w:p w14:paraId="4E74941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3" w:name="n29"/>
      <w:bookmarkEnd w:id="13"/>
      <w:r>
        <w:rPr>
          <w:color w:val="333333"/>
          <w:sz w:val="28"/>
          <w:szCs w:val="28"/>
        </w:rPr>
        <w:t>8) надання організаційної і методичної допомоги притулкам для дітей, центрам соціально-психологічної реабілітації дітей, центрам соціальної підтримки дітей та сімей, соціально-реабілітаційним центрам (дитячим містечкам), що розташовані на території відповідної територіальної громади та/або в яких отримують соціальні послуги діти, які проживають у Переяславській міській територіальній громаді або походять з неї, здійснення в межах компетенції безпосереднього контролю за діяльністю таких закладів;</w:t>
      </w:r>
    </w:p>
    <w:p w14:paraId="696344E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4" w:name="n30"/>
      <w:bookmarkEnd w:id="14"/>
      <w:r>
        <w:rPr>
          <w:color w:val="333333"/>
          <w:sz w:val="28"/>
          <w:szCs w:val="28"/>
        </w:rPr>
        <w:t>9) вжиття заходів із виявлення дітей, які перебувають у складних життєвих обставинах, дітей, які залишилися без батьківського піклування; у разі необхідності забезпечення їх тимчасового влаштування, надання необхідної допомоги з урахуванням їхніх потреб;</w:t>
      </w:r>
    </w:p>
    <w:p w14:paraId="20570B0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5" w:name="n31"/>
      <w:bookmarkEnd w:id="15"/>
      <w:r>
        <w:rPr>
          <w:color w:val="333333"/>
          <w:sz w:val="28"/>
          <w:szCs w:val="28"/>
        </w:rPr>
        <w:t>10) забезпечення безпеки дітей, стосовно яких надійшла інформація про жорстоке поводження з ними або загрозу їхньому життю чи здоров’ю, шляхом:</w:t>
      </w:r>
    </w:p>
    <w:p w14:paraId="464E5BAA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6" w:name="n32"/>
      <w:bookmarkEnd w:id="16"/>
      <w:r>
        <w:rPr>
          <w:color w:val="333333"/>
          <w:sz w:val="28"/>
          <w:szCs w:val="28"/>
        </w:rPr>
        <w:t>- невідкладного проведення оцінки рівня безпеки дитини спільно з уповноваженим підрозділом територіального органу Національної поліції, який діє у межах своїх повноважень, фахівцем із соціальної роботи або іншим надавачем соціальних послуг, представником закладу охорони здоров’я, у разі необхідності із залученням інших фахівців;</w:t>
      </w:r>
    </w:p>
    <w:p w14:paraId="471F5FF9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7" w:name="n33"/>
      <w:bookmarkEnd w:id="17"/>
      <w:r>
        <w:rPr>
          <w:color w:val="333333"/>
          <w:sz w:val="28"/>
          <w:szCs w:val="28"/>
        </w:rPr>
        <w:t>- вжиття в разі необхідності заходів щодо організації надання дитині необхідної медичної допомоги, її тимчасового влаштування;</w:t>
      </w:r>
    </w:p>
    <w:p w14:paraId="19B1BDC8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8" w:name="n34"/>
      <w:bookmarkEnd w:id="18"/>
      <w:r>
        <w:rPr>
          <w:color w:val="333333"/>
          <w:sz w:val="28"/>
          <w:szCs w:val="28"/>
        </w:rPr>
        <w:t>- підготовка клопотання до органу опіки та піклування про невідкладне відібрання дитини у батьків або осіб, які їх замінюють, у разі підтвердження факту загрози її життю та здоров’ю;</w:t>
      </w:r>
    </w:p>
    <w:p w14:paraId="52CA71D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9" w:name="n35"/>
      <w:bookmarkEnd w:id="19"/>
      <w:r>
        <w:rPr>
          <w:color w:val="333333"/>
          <w:sz w:val="28"/>
          <w:szCs w:val="28"/>
        </w:rPr>
        <w:lastRenderedPageBreak/>
        <w:t>11) підготовка за участю виконавчих органів міської ради документів для звернення органу опіки та піклування до суду про позбавлення, відібрання дитини у батьків без позбавлення їх батьківських прав;</w:t>
      </w:r>
    </w:p>
    <w:p w14:paraId="3B7DB97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0" w:name="n36"/>
      <w:bookmarkEnd w:id="20"/>
      <w:r>
        <w:rPr>
          <w:color w:val="333333"/>
          <w:sz w:val="28"/>
          <w:szCs w:val="28"/>
        </w:rPr>
        <w:t xml:space="preserve">12) підготовка документів та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рішень органу опіки та піклування для реєстрації народження підкинутих, знайдених дітей, дітей, покинутих у пологових будинках, інших закладах охорони здоров’я, дітей, мати яких померла чи місце проживання батьків яких встановити неможливо, подання таких документів та рішень органам реєстрації актів цивільного стану;</w:t>
      </w:r>
    </w:p>
    <w:p w14:paraId="6141EAB1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1" w:name="n37"/>
      <w:bookmarkEnd w:id="21"/>
      <w:r>
        <w:rPr>
          <w:color w:val="333333"/>
          <w:sz w:val="28"/>
          <w:szCs w:val="28"/>
        </w:rPr>
        <w:t>13) підготовка висновків про доцільність (недоцільність) повернення дитини, щодо якої було прийняте рішення про тимчасове влаштування, до батьків або інших законних представників;</w:t>
      </w:r>
    </w:p>
    <w:p w14:paraId="38D572E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2" w:name="n38"/>
      <w:bookmarkEnd w:id="22"/>
      <w:r>
        <w:rPr>
          <w:color w:val="333333"/>
          <w:sz w:val="28"/>
          <w:szCs w:val="28"/>
        </w:rPr>
        <w:t xml:space="preserve">14) збір документів, необхідних для надання дитині статусу дитини-сироти, дитини, позбавленої батьківського піклування, дитини, яка постраждала внаслідок воєнних дій та збройних конфліктів, підготовка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відповідних рішень органу опіки та піклування;</w:t>
      </w:r>
    </w:p>
    <w:p w14:paraId="6FA6B3C7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3" w:name="n39"/>
      <w:bookmarkEnd w:id="23"/>
      <w:r>
        <w:rPr>
          <w:color w:val="333333"/>
          <w:sz w:val="28"/>
          <w:szCs w:val="28"/>
        </w:rPr>
        <w:t>15) вжиття заходів щодо повернення в Україну дітей, позбавлених батьківського піклування, які є громадянами України та походять із Переяславської міської територіальної громади;</w:t>
      </w:r>
    </w:p>
    <w:p w14:paraId="694BD6A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4" w:name="n40"/>
      <w:bookmarkEnd w:id="24"/>
      <w:r>
        <w:rPr>
          <w:color w:val="333333"/>
          <w:sz w:val="28"/>
          <w:szCs w:val="28"/>
        </w:rPr>
        <w:t xml:space="preserve">16) ведення обліків дітей, які перебувають у складних життєвих обставинах, включаючи дітей, які постраждали внаслідок воєнних дій та збройних конфліктів, дітей, які залишились без батьківського піклування, включаючи дітей, розлучених із сім’єю, дітей, які є іноземцями або особами без громадянства та виявили бажання особисто чи через інших осіб набути статусу біженця або особи, яка потребує додаткового захисту (далі - діти, розлучені із сім’єю), дітей-сиріт та дітей, позбавлених батьківського піклування; дітей, які можуть бути усиновлені; дітей-сиріт та дітей, позбавлених батьківського піклування, які прибули з інших територій; усиновлених дітей, за умовами проживання та виховання яких здійснюється нагляд; потенційних опікунів, піклувальників, прийомних батьків, батьків-вихователів; кандидатів в </w:t>
      </w:r>
      <w:proofErr w:type="spellStart"/>
      <w:r>
        <w:rPr>
          <w:color w:val="333333"/>
          <w:sz w:val="28"/>
          <w:szCs w:val="28"/>
        </w:rPr>
        <w:t>усиновлювачі</w:t>
      </w:r>
      <w:proofErr w:type="spellEnd"/>
      <w:r>
        <w:rPr>
          <w:color w:val="333333"/>
          <w:sz w:val="28"/>
          <w:szCs w:val="28"/>
        </w:rPr>
        <w:t>; нерухомого майна дітей-сиріт, дітей, позбавлених батьківського піклування;</w:t>
      </w:r>
    </w:p>
    <w:p w14:paraId="1D7673C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5" w:name="n41"/>
      <w:bookmarkEnd w:id="25"/>
      <w:r>
        <w:rPr>
          <w:color w:val="333333"/>
          <w:sz w:val="28"/>
          <w:szCs w:val="28"/>
        </w:rPr>
        <w:t>17) участь у межах компетенції у судовому розгляді за участю неповнолітнього обвинуваченого з метою забезпечення прав та найкращих інтересів дітей;</w:t>
      </w:r>
    </w:p>
    <w:p w14:paraId="64453C9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6" w:name="n42"/>
      <w:bookmarkEnd w:id="26"/>
      <w:r>
        <w:rPr>
          <w:color w:val="333333"/>
          <w:sz w:val="28"/>
          <w:szCs w:val="28"/>
        </w:rPr>
        <w:t xml:space="preserve">18) забезпечення в межах компетенції ведення єдиного електронного банку даних про дітей-сиріт, дітей, позбавлених батьківського піклування, і сім’ї потенційних </w:t>
      </w:r>
      <w:proofErr w:type="spellStart"/>
      <w:r>
        <w:rPr>
          <w:color w:val="333333"/>
          <w:sz w:val="28"/>
          <w:szCs w:val="28"/>
        </w:rPr>
        <w:t>усиновлювачів</w:t>
      </w:r>
      <w:proofErr w:type="spellEnd"/>
      <w:r>
        <w:rPr>
          <w:color w:val="333333"/>
          <w:sz w:val="28"/>
          <w:szCs w:val="28"/>
        </w:rPr>
        <w:t>, опікунів, піклувальників, прийомних батьків, батьків-вихователів;</w:t>
      </w:r>
    </w:p>
    <w:p w14:paraId="4F33354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7" w:name="n43"/>
      <w:bookmarkEnd w:id="27"/>
      <w:r>
        <w:rPr>
          <w:color w:val="333333"/>
          <w:sz w:val="28"/>
          <w:szCs w:val="28"/>
        </w:rPr>
        <w:t>19) вжиття вичерпних заходів для влаштування дітей-сиріт, дітей, позбавлених батьківського піклування, в сім’ї громадян України із дотриманням пріоритету сімейного виховання (усиновлення, опіка, піклування, влаштування у прийомні сім’ї та дитячі будинки сімейного типу), у тому числі:</w:t>
      </w:r>
    </w:p>
    <w:p w14:paraId="7A8F508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8" w:name="n44"/>
      <w:bookmarkEnd w:id="28"/>
      <w:r>
        <w:rPr>
          <w:color w:val="333333"/>
          <w:sz w:val="28"/>
          <w:szCs w:val="28"/>
        </w:rPr>
        <w:t xml:space="preserve">- підготовка та видання висновків про можливість бути </w:t>
      </w:r>
      <w:proofErr w:type="spellStart"/>
      <w:r>
        <w:rPr>
          <w:color w:val="333333"/>
          <w:sz w:val="28"/>
          <w:szCs w:val="28"/>
        </w:rPr>
        <w:t>усиновлювачами</w:t>
      </w:r>
      <w:proofErr w:type="spellEnd"/>
      <w:r>
        <w:rPr>
          <w:color w:val="333333"/>
          <w:sz w:val="28"/>
          <w:szCs w:val="28"/>
        </w:rPr>
        <w:t xml:space="preserve"> особам, які бажають усиновити дитину;</w:t>
      </w:r>
    </w:p>
    <w:p w14:paraId="67127C80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9" w:name="n45"/>
      <w:bookmarkEnd w:id="29"/>
      <w:r>
        <w:rPr>
          <w:color w:val="333333"/>
          <w:sz w:val="28"/>
          <w:szCs w:val="28"/>
        </w:rPr>
        <w:t xml:space="preserve">- підготовка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рішень органу опіки та піклування про утворення прийомної сім’ї, дитячого будинку сімейного типу, про встановлення опіки та піклування над дітьми-сиротами, дітьми, позбавленими батьківського </w:t>
      </w:r>
      <w:r>
        <w:rPr>
          <w:color w:val="333333"/>
          <w:sz w:val="28"/>
          <w:szCs w:val="28"/>
        </w:rPr>
        <w:lastRenderedPageBreak/>
        <w:t>піклування, влаштування їх до прийомних сімей та дитячих будинків сімейного типу;</w:t>
      </w:r>
    </w:p>
    <w:p w14:paraId="4B3F32C2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0" w:name="n46"/>
      <w:bookmarkEnd w:id="30"/>
      <w:r>
        <w:rPr>
          <w:color w:val="333333"/>
          <w:sz w:val="28"/>
          <w:szCs w:val="28"/>
        </w:rPr>
        <w:t>20) здійснення у межах компетенції контролю за дотриманням законодавства з питань соціального захисту дітей і запобігання вчиненню ними правопорушень, у тому числі щодо умов утримання і виховання:</w:t>
      </w:r>
    </w:p>
    <w:p w14:paraId="528B2AC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1" w:name="n47"/>
      <w:bookmarkEnd w:id="31"/>
      <w:r>
        <w:rPr>
          <w:color w:val="333333"/>
          <w:sz w:val="28"/>
          <w:szCs w:val="28"/>
        </w:rPr>
        <w:t>- дітей, влаштованих на цілодобове перебування до закладів різних типів, форм власності та підпорядкування, у тому числі до спеціальних виховних установ;</w:t>
      </w:r>
    </w:p>
    <w:p w14:paraId="3FF4AFC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2" w:name="n48"/>
      <w:bookmarkEnd w:id="32"/>
      <w:r>
        <w:rPr>
          <w:color w:val="333333"/>
          <w:sz w:val="28"/>
          <w:szCs w:val="28"/>
        </w:rPr>
        <w:t>- дітей-сиріт та дітей, позбавлених батьківського піклування, у сім’ях опікунів, піклувальників, дитячих будинках сімейного типу, прийомних сім’ях;</w:t>
      </w:r>
    </w:p>
    <w:p w14:paraId="2908CBA0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3" w:name="n49"/>
      <w:bookmarkEnd w:id="33"/>
      <w:r>
        <w:rPr>
          <w:color w:val="333333"/>
          <w:sz w:val="28"/>
          <w:szCs w:val="28"/>
        </w:rPr>
        <w:t>- дітей, які перебувають у складних життєвих обставинах, у сім’ях патронатних вихователів;</w:t>
      </w:r>
    </w:p>
    <w:p w14:paraId="51787A89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4" w:name="n50"/>
      <w:bookmarkEnd w:id="34"/>
      <w:r>
        <w:rPr>
          <w:color w:val="333333"/>
          <w:sz w:val="28"/>
          <w:szCs w:val="28"/>
        </w:rPr>
        <w:t>21) підготовка висновків та звітів про стан виховання, утримання і розвитку дітей у сім’ях опікунів, піклувальників, прийомних сім’ях та дитячих будинках сімейного типу, усиновлених дітей;</w:t>
      </w:r>
    </w:p>
    <w:p w14:paraId="1601C991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5" w:name="n51"/>
      <w:bookmarkEnd w:id="35"/>
      <w:r>
        <w:rPr>
          <w:color w:val="333333"/>
          <w:sz w:val="28"/>
          <w:szCs w:val="28"/>
        </w:rPr>
        <w:t>22) розгляд звернень власників підприємств, установ або організацій усіх форм власності щодо звільнення працівників віком до 18 років та надання відповідних письмових дозволів;</w:t>
      </w:r>
    </w:p>
    <w:p w14:paraId="5D9E737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6" w:name="n52"/>
      <w:bookmarkEnd w:id="36"/>
      <w:r>
        <w:rPr>
          <w:color w:val="333333"/>
          <w:sz w:val="28"/>
          <w:szCs w:val="28"/>
        </w:rPr>
        <w:t>23) проведення передбачених законодавством заходів у сфері запобігання та протидії домашньому насильству стосовно дітей та за участю дітей, у тому числі:</w:t>
      </w:r>
    </w:p>
    <w:p w14:paraId="22BFF05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7" w:name="n53"/>
      <w:bookmarkEnd w:id="37"/>
      <w:r>
        <w:rPr>
          <w:color w:val="333333"/>
          <w:sz w:val="28"/>
          <w:szCs w:val="28"/>
        </w:rPr>
        <w:t>- розроблення та проведення заходів щодо захисту прав і законних інтересів дітей, які постраждали від домашнього насильства, та дітей, які вчинили домашнє насильство у будь-якій формі;</w:t>
      </w:r>
    </w:p>
    <w:p w14:paraId="3873690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8" w:name="n54"/>
      <w:bookmarkEnd w:id="38"/>
      <w:r>
        <w:rPr>
          <w:color w:val="333333"/>
          <w:sz w:val="28"/>
          <w:szCs w:val="28"/>
        </w:rPr>
        <w:t xml:space="preserve">- прийом та розгляд заяв і повідомлень про домашнє насильство стосовно дітей та за участю дітей, у тому числі повідомлень, що надійшли до </w:t>
      </w:r>
      <w:proofErr w:type="spellStart"/>
      <w:r>
        <w:rPr>
          <w:color w:val="333333"/>
          <w:sz w:val="28"/>
          <w:szCs w:val="28"/>
        </w:rPr>
        <w:t>кол</w:t>
      </w:r>
      <w:proofErr w:type="spellEnd"/>
      <w:r>
        <w:rPr>
          <w:color w:val="333333"/>
          <w:sz w:val="28"/>
          <w:szCs w:val="28"/>
        </w:rPr>
        <w:t>-центру з питань запобігання та протидії домашньому насильству, насильству за ознакою статі та насильству стосовно дітей;</w:t>
      </w:r>
    </w:p>
    <w:p w14:paraId="3E92342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9" w:name="n55"/>
      <w:bookmarkEnd w:id="39"/>
      <w:r>
        <w:rPr>
          <w:color w:val="333333"/>
          <w:sz w:val="28"/>
          <w:szCs w:val="28"/>
        </w:rPr>
        <w:t>- інформування дітей, які постраждали від домашнього насильства, їхніх батьків, інших законних представників, якщо вони не є кривдниками дитини, а також дітей, які вчинили домашнє насильство у будь-якій формі, їхніх батьків, інших законних представників про права дітей, заходи, у яких вони можуть узяти участь, та послуги, якими вони можуть скористатися;</w:t>
      </w:r>
    </w:p>
    <w:p w14:paraId="09E8600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0" w:name="n56"/>
      <w:bookmarkEnd w:id="40"/>
      <w:r>
        <w:rPr>
          <w:color w:val="333333"/>
          <w:sz w:val="28"/>
          <w:szCs w:val="28"/>
        </w:rPr>
        <w:t>- проведення з батьками, іншими законними представниками дітей профілактичної роботи із запобігання домашньому насильству стосовно дітей і за участю дітей, у тому числі із залученням у разі необхідності інших суб’єктів соціальної роботи із сім’ями, дітьми та молоддю в межах їхньої компетенції;</w:t>
      </w:r>
    </w:p>
    <w:p w14:paraId="32B83FB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1" w:name="n57"/>
      <w:bookmarkEnd w:id="41"/>
      <w:r>
        <w:rPr>
          <w:color w:val="333333"/>
          <w:sz w:val="28"/>
          <w:szCs w:val="28"/>
        </w:rPr>
        <w:t>- 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обов’язків у разі виявлення фактів домашнього насильства, у роботі з дітьми, які постраждали від домашнього насильства, та дітьми, які вчинили домашнє насильство у будь-якій формі;</w:t>
      </w:r>
    </w:p>
    <w:p w14:paraId="6171F7A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2" w:name="n58"/>
      <w:bookmarkEnd w:id="42"/>
      <w:r>
        <w:rPr>
          <w:color w:val="333333"/>
          <w:sz w:val="28"/>
          <w:szCs w:val="28"/>
        </w:rPr>
        <w:t>- взаємодія з іншими суб’єктами, що здійснюють заходи у сфері запобігання та протидії домашньому насильству, відповідно до </w:t>
      </w:r>
      <w:hyperlink r:id="rId5" w:anchor="n235" w:tgtFrame="_blank" w:history="1">
        <w:r>
          <w:rPr>
            <w:rStyle w:val="a3"/>
            <w:color w:val="auto"/>
            <w:sz w:val="28"/>
            <w:szCs w:val="28"/>
            <w:u w:val="none"/>
          </w:rPr>
          <w:t>статті 15</w:t>
        </w:r>
      </w:hyperlink>
      <w:r>
        <w:rPr>
          <w:sz w:val="28"/>
          <w:szCs w:val="28"/>
        </w:rPr>
        <w:t> </w:t>
      </w:r>
      <w:r>
        <w:rPr>
          <w:color w:val="333333"/>
          <w:sz w:val="28"/>
          <w:szCs w:val="28"/>
        </w:rPr>
        <w:t>Закону України «Про запобігання та протидію домашньому насильству»;</w:t>
      </w:r>
    </w:p>
    <w:p w14:paraId="6C375C4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3" w:name="n59"/>
      <w:bookmarkEnd w:id="43"/>
      <w:r>
        <w:rPr>
          <w:color w:val="333333"/>
          <w:sz w:val="28"/>
          <w:szCs w:val="28"/>
        </w:rPr>
        <w:t xml:space="preserve">24) забезпечення соціального захисту дітей, які постраждали від торгівлі людьми, у тому числі інформування про таких дітей територіального органу </w:t>
      </w:r>
      <w:r>
        <w:rPr>
          <w:color w:val="333333"/>
          <w:sz w:val="28"/>
          <w:szCs w:val="28"/>
        </w:rPr>
        <w:lastRenderedPageBreak/>
        <w:t>Національної поліції, структурного підрозділу місцевої державної адміністрації, відповідального за проведення процедури встановлення статусу особи, яка постраждала від торгівлі людьми, для проведення відповідних заходів згідно із законодавством;</w:t>
      </w:r>
    </w:p>
    <w:p w14:paraId="22DCAF2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4" w:name="n60"/>
      <w:bookmarkEnd w:id="44"/>
      <w:r>
        <w:rPr>
          <w:color w:val="333333"/>
          <w:sz w:val="28"/>
          <w:szCs w:val="28"/>
        </w:rPr>
        <w:t>25) забезпечення захисту житлових та майнових прав дітей, в тому числі дітей-сиріт та дітей, позбавлених батьківського піклування, зокрема:</w:t>
      </w:r>
    </w:p>
    <w:p w14:paraId="0737E8B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5" w:name="n61"/>
      <w:bookmarkEnd w:id="45"/>
      <w:r>
        <w:rPr>
          <w:color w:val="333333"/>
          <w:sz w:val="28"/>
          <w:szCs w:val="28"/>
        </w:rPr>
        <w:t>- ведення обліку нерухомого майна дитини-сироти та дитини, позбавленої батьківського піклування;</w:t>
      </w:r>
    </w:p>
    <w:p w14:paraId="06E6CEB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6" w:name="n62"/>
      <w:bookmarkEnd w:id="46"/>
      <w:r>
        <w:rPr>
          <w:color w:val="333333"/>
          <w:sz w:val="28"/>
          <w:szCs w:val="28"/>
        </w:rPr>
        <w:t>- складання опису майна дитини-сироти та дитини, позбавленої батьківського піклування, за місцем знаходження такого майна;</w:t>
      </w:r>
    </w:p>
    <w:p w14:paraId="5F959C2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7" w:name="n63"/>
      <w:bookmarkEnd w:id="47"/>
      <w:r>
        <w:rPr>
          <w:color w:val="333333"/>
          <w:sz w:val="28"/>
          <w:szCs w:val="28"/>
        </w:rPr>
        <w:t xml:space="preserve">- підготовка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рішень органу опіки та піклування за місцем знаходження майна дітей-сиріт, дітей, позбавлених батьківського піклування, про встановлення опіки над майном; призначення особи, яка буде представляти інтереси дітей вказаної категорії на час здійснення права на спадкування; укладення договору оренди житла, яке належить дитині-сироті та дитині, позбавленій батьківського піклування, на праві власності; погодження зняття з реєстрації дітей зазначеної категорії;</w:t>
      </w:r>
    </w:p>
    <w:p w14:paraId="09942AD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8" w:name="n64"/>
      <w:bookmarkEnd w:id="48"/>
      <w:r>
        <w:rPr>
          <w:color w:val="333333"/>
          <w:sz w:val="28"/>
          <w:szCs w:val="28"/>
        </w:rPr>
        <w:t>- вжиття заходів щодо передання житла, яке належить на праві користування дитині-сироті та дитині, позбавленій батьківського піклування, у власність дитини;</w:t>
      </w:r>
    </w:p>
    <w:p w14:paraId="143BFCB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9" w:name="n65"/>
      <w:bookmarkEnd w:id="49"/>
      <w:r>
        <w:rPr>
          <w:color w:val="333333"/>
          <w:sz w:val="28"/>
          <w:szCs w:val="28"/>
        </w:rPr>
        <w:t>- подання органу опіки та піклування необхідних документів для взяття дитини-сироти, дитини, позбавленої батьківського піклування, після досягнення нею 16-річного віку на облік громадян, які потребують поліпшення житлових умов, і на соціальний квартирний облік у разі наявності правових підстав для цього;</w:t>
      </w:r>
    </w:p>
    <w:p w14:paraId="5C5B531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0" w:name="n66"/>
      <w:bookmarkEnd w:id="50"/>
      <w:r>
        <w:rPr>
          <w:color w:val="333333"/>
          <w:sz w:val="28"/>
          <w:szCs w:val="28"/>
        </w:rPr>
        <w:t>- забезпечення контролю за виконанням рішень міської  ради та її виконавчих органів щодо захисту житлових та майнових прав дітей;</w:t>
      </w:r>
    </w:p>
    <w:p w14:paraId="3690A727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1" w:name="n67"/>
      <w:bookmarkEnd w:id="51"/>
      <w:r>
        <w:rPr>
          <w:color w:val="333333"/>
          <w:sz w:val="28"/>
          <w:szCs w:val="28"/>
        </w:rPr>
        <w:t>26) забезпечення захисту прав дітей при вчиненні правочинів стосовно нерухомого майна, право власності на яке або право користування яким вони мають, шляхом:</w:t>
      </w:r>
    </w:p>
    <w:p w14:paraId="6669434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2" w:name="n68"/>
      <w:bookmarkEnd w:id="52"/>
      <w:r>
        <w:rPr>
          <w:color w:val="333333"/>
          <w:sz w:val="28"/>
          <w:szCs w:val="28"/>
        </w:rPr>
        <w:t>- надання консультацій фізичним особам з питань підготовки необхідних документів щодо вчинення відповідних правочинів;</w:t>
      </w:r>
    </w:p>
    <w:p w14:paraId="6F47F3C1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3" w:name="n69"/>
      <w:bookmarkEnd w:id="53"/>
      <w:r>
        <w:rPr>
          <w:color w:val="333333"/>
          <w:sz w:val="28"/>
          <w:szCs w:val="28"/>
        </w:rPr>
        <w:t>- перевірка документів, поданих на вчинення правочинів щодо нерухомого майна дитини, з’ясування наявності/відсутності обставин, що можуть бути підставою для відмови у наданні дозволу на вчинення таких правочинів;</w:t>
      </w:r>
    </w:p>
    <w:p w14:paraId="365F2CF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4" w:name="n70"/>
      <w:bookmarkEnd w:id="54"/>
      <w:r>
        <w:rPr>
          <w:color w:val="333333"/>
          <w:sz w:val="28"/>
          <w:szCs w:val="28"/>
        </w:rPr>
        <w:t xml:space="preserve">- підготовка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рішень органів опіки та піклування про надання (відмову в наданні) дозволу на вчинення правочинів щодо нерухомого майна, право власності на яке або право користування яким має дитина;</w:t>
      </w:r>
    </w:p>
    <w:p w14:paraId="7C4C273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5" w:name="n71"/>
      <w:bookmarkEnd w:id="55"/>
      <w:r>
        <w:rPr>
          <w:color w:val="333333"/>
          <w:sz w:val="28"/>
          <w:szCs w:val="28"/>
        </w:rPr>
        <w:t>- подання міському голові клопотання про необхідність звернення до суду з метою захисту майнових та житлових прав дитини, якщо батьки, опікуни/піклувальники, прийомні батьки, батьки-вихователі не виконують рішення виконавчого органу міської, районної у місті ради;</w:t>
      </w:r>
      <w:bookmarkStart w:id="56" w:name="n72"/>
      <w:bookmarkEnd w:id="56"/>
    </w:p>
    <w:p w14:paraId="108A3B82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7" w:name="n73"/>
      <w:bookmarkEnd w:id="57"/>
      <w:r>
        <w:rPr>
          <w:color w:val="333333"/>
          <w:sz w:val="28"/>
          <w:szCs w:val="28"/>
        </w:rPr>
        <w:t xml:space="preserve">27) збір матеріалів, підготовка письмових висновків органів опіки та піклування для подання до суду або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рішень органу опіки та піклування щодо розв’язання спорів між батьками стосовно прізвища, імені, місця проживання дитини, участі у вихованні дитини того з батьків, хто проживає окремо від неї;</w:t>
      </w:r>
    </w:p>
    <w:p w14:paraId="2219B6E1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8" w:name="n74"/>
      <w:bookmarkEnd w:id="58"/>
      <w:r>
        <w:rPr>
          <w:color w:val="333333"/>
          <w:sz w:val="28"/>
          <w:szCs w:val="28"/>
        </w:rPr>
        <w:lastRenderedPageBreak/>
        <w:t xml:space="preserve">28) підготовка висновків та </w:t>
      </w:r>
      <w:proofErr w:type="spellStart"/>
      <w:r>
        <w:rPr>
          <w:color w:val="333333"/>
          <w:sz w:val="28"/>
          <w:szCs w:val="28"/>
        </w:rPr>
        <w:t>проєктів</w:t>
      </w:r>
      <w:proofErr w:type="spellEnd"/>
      <w:r>
        <w:rPr>
          <w:color w:val="333333"/>
          <w:sz w:val="28"/>
          <w:szCs w:val="28"/>
        </w:rPr>
        <w:t xml:space="preserve"> рішень органу опіки та піклування про підтвердження місця проживання дітей для їх тимчасового виїзду за межі України;</w:t>
      </w:r>
    </w:p>
    <w:p w14:paraId="4F89A89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9" w:name="n75"/>
      <w:bookmarkEnd w:id="59"/>
      <w:r>
        <w:rPr>
          <w:color w:val="333333"/>
          <w:sz w:val="28"/>
          <w:szCs w:val="28"/>
        </w:rPr>
        <w:t>29) підготовка для подання до суду висновків органу опіки та піклування щодо позбавлення та поновлення батьківських прав; побачення з дитиною матері, батька, які позбавлені батьківських прав; відібрання дитини від особи, яка тримає її у себе не на підставі закону або рішення суду; про доцільність усиновлення та відповідність його інтересам дитини, скасування усиновлення та визнання його недійсним; з інших питань, що стосуються прав дитини, які вирішуються із залученням або за ініціативою виконавчого органу міської ради як органу опіки та піклування;</w:t>
      </w:r>
    </w:p>
    <w:p w14:paraId="6F163E7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0" w:name="n76"/>
      <w:bookmarkEnd w:id="60"/>
      <w:r>
        <w:rPr>
          <w:color w:val="333333"/>
          <w:sz w:val="28"/>
          <w:szCs w:val="28"/>
        </w:rPr>
        <w:t>30) складання протоколів про адміністративні правопорушення відповідно до </w:t>
      </w:r>
      <w:hyperlink r:id="rId6" w:anchor="n3112" w:tgtFrame="_blank" w:history="1">
        <w:r>
          <w:rPr>
            <w:rStyle w:val="a3"/>
            <w:color w:val="auto"/>
            <w:sz w:val="28"/>
            <w:szCs w:val="28"/>
            <w:u w:val="none"/>
          </w:rPr>
          <w:t>частин п’ятої</w:t>
        </w:r>
      </w:hyperlink>
      <w:r>
        <w:rPr>
          <w:sz w:val="28"/>
          <w:szCs w:val="28"/>
        </w:rPr>
        <w:t>, </w:t>
      </w:r>
      <w:hyperlink r:id="rId7" w:anchor="n3114" w:tgtFrame="_blank" w:history="1">
        <w:r>
          <w:rPr>
            <w:rStyle w:val="a3"/>
            <w:color w:val="auto"/>
            <w:sz w:val="28"/>
            <w:szCs w:val="28"/>
            <w:u w:val="none"/>
          </w:rPr>
          <w:t>шостої</w:t>
        </w:r>
      </w:hyperlink>
      <w:r>
        <w:rPr>
          <w:color w:val="333333"/>
          <w:sz w:val="28"/>
          <w:szCs w:val="28"/>
        </w:rPr>
        <w:t> статті 184 (невиконання рішення органу опіки та піклування щодо визначення способів участі у вихованні дитини та спілкуванні з нею того з батьків, хто проживає окремо від дитини) та </w:t>
      </w:r>
      <w:hyperlink r:id="rId8" w:anchor="n3119" w:tgtFrame="_blank" w:history="1">
        <w:r>
          <w:rPr>
            <w:rStyle w:val="a3"/>
            <w:color w:val="auto"/>
            <w:sz w:val="28"/>
            <w:szCs w:val="28"/>
            <w:u w:val="none"/>
          </w:rPr>
          <w:t>статті 188</w:t>
        </w:r>
      </w:hyperlink>
      <w:hyperlink r:id="rId9" w:anchor="n3119" w:tgtFrame="_blank" w:history="1">
        <w:r>
          <w:rPr>
            <w:rStyle w:val="a3"/>
            <w:b/>
            <w:bCs/>
            <w:color w:val="auto"/>
            <w:sz w:val="28"/>
            <w:szCs w:val="28"/>
            <w:u w:val="none"/>
            <w:vertAlign w:val="superscript"/>
          </w:rPr>
          <w:t>-50</w:t>
        </w:r>
      </w:hyperlink>
      <w:r>
        <w:rPr>
          <w:sz w:val="28"/>
          <w:szCs w:val="28"/>
        </w:rPr>
        <w:t> (</w:t>
      </w:r>
      <w:r>
        <w:rPr>
          <w:color w:val="333333"/>
          <w:sz w:val="28"/>
          <w:szCs w:val="28"/>
        </w:rPr>
        <w:t>невиконання законних вимог посадових (службових) осіб органу опіки та піклування) Кодексу України про адміністративні правопорушення;</w:t>
      </w:r>
    </w:p>
    <w:p w14:paraId="4367343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1" w:name="n77"/>
      <w:bookmarkStart w:id="62" w:name="n81"/>
      <w:bookmarkEnd w:id="61"/>
      <w:bookmarkEnd w:id="62"/>
      <w:r>
        <w:rPr>
          <w:color w:val="333333"/>
          <w:sz w:val="28"/>
          <w:szCs w:val="28"/>
        </w:rPr>
        <w:t>31) сприяння в межах компетенції поверненню дітей-іноземців, виявлених на території громади, до місць їхнього постійного проживання та забезпечення їх соціального захисту до моменту повернення;</w:t>
      </w:r>
    </w:p>
    <w:p w14:paraId="694C26A2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3" w:name="n82"/>
      <w:bookmarkEnd w:id="63"/>
      <w:r>
        <w:rPr>
          <w:color w:val="333333"/>
          <w:sz w:val="28"/>
          <w:szCs w:val="28"/>
        </w:rPr>
        <w:t>32) представництво від імені органу опіки та піклування інтересів дітей, розлучених із сім’єю, виявлених на території Переяславської міської територіальної громади;</w:t>
      </w:r>
    </w:p>
    <w:p w14:paraId="2972F53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4" w:name="n83"/>
      <w:bookmarkEnd w:id="64"/>
      <w:r>
        <w:rPr>
          <w:color w:val="333333"/>
          <w:sz w:val="28"/>
          <w:szCs w:val="28"/>
        </w:rPr>
        <w:t>33) здійснення контролю за цільовим використанням аліментів;</w:t>
      </w:r>
    </w:p>
    <w:p w14:paraId="3A35E2B9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5" w:name="n84"/>
      <w:bookmarkEnd w:id="65"/>
      <w:r>
        <w:rPr>
          <w:color w:val="333333"/>
          <w:sz w:val="28"/>
          <w:szCs w:val="28"/>
        </w:rPr>
        <w:t>34) забезпечення організації діяльності Комісії з питань захисту прав дитини при виконавчому комітеті Переяславської міської ради;</w:t>
      </w:r>
    </w:p>
    <w:p w14:paraId="40479F5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6" w:name="n85"/>
      <w:bookmarkEnd w:id="66"/>
      <w:r>
        <w:rPr>
          <w:color w:val="333333"/>
          <w:sz w:val="28"/>
          <w:szCs w:val="28"/>
        </w:rPr>
        <w:t>35) розгляд в установленому порядку звернень громадян, зокрема, звернень дітей щодо неналежного виконання батьками, іншими законними представниками обов’язків з виховання або щодо зловживання ними своїми правами;</w:t>
      </w:r>
    </w:p>
    <w:p w14:paraId="16B86EB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7" w:name="n86"/>
      <w:bookmarkEnd w:id="67"/>
      <w:r>
        <w:rPr>
          <w:color w:val="333333"/>
          <w:sz w:val="28"/>
          <w:szCs w:val="28"/>
        </w:rPr>
        <w:t>36) виконання інших функцій, покладених на Службу відповідно до законодавства;</w:t>
      </w:r>
    </w:p>
    <w:p w14:paraId="3C7B954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37) здійснює організацію оздоровлення та відпочинку дітей, в тому числі дітей, які потребують особливої соціальної уваги та підтримки, забезпечення розроблення та виконання відповідних регіональних та місцевих програм;</w:t>
      </w:r>
    </w:p>
    <w:p w14:paraId="6C1BA7BA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38) здійснює видачу, продовження терміну дії посвідчень батьків багатодітної сім’ї та дитини з багатодітної сім’ї. Веде загальний облік багатодітних сімей Переяславської міської територіальної громади;</w:t>
      </w:r>
    </w:p>
    <w:p w14:paraId="7BFE74F7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39) здійснює забезпечення своєчасного опрацювання запитів на публічну інформацію та надання відповідей в терміни визначені чинним законодавством України, в межах своїх повноважень;</w:t>
      </w:r>
    </w:p>
    <w:p w14:paraId="6BDA253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40) сприяє створення та підтримці діяльності сімей патронатних вихователів;</w:t>
      </w:r>
    </w:p>
    <w:p w14:paraId="2AD3523A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41) сприяє отриманню адресної матеріальної допомоги сім’ям з дітьми, сімейним формам виховання та сім’ям патронатних вихователів  матеріальної допомоги на забезпечення їхньої діяльності, що здійснюється в установленому порядку. </w:t>
      </w:r>
    </w:p>
    <w:p w14:paraId="08065669" w14:textId="77777777" w:rsidR="003C4024" w:rsidRDefault="003C4024" w:rsidP="003C4024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color w:val="333333"/>
        </w:rPr>
      </w:pPr>
      <w:bookmarkStart w:id="68" w:name="n87"/>
      <w:bookmarkEnd w:id="68"/>
      <w:r>
        <w:rPr>
          <w:rStyle w:val="rvts15"/>
          <w:b/>
          <w:bCs/>
          <w:color w:val="333333"/>
          <w:sz w:val="28"/>
          <w:szCs w:val="28"/>
        </w:rPr>
        <w:lastRenderedPageBreak/>
        <w:t>III. Права служби</w:t>
      </w:r>
    </w:p>
    <w:p w14:paraId="762DBDBA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9" w:name="n88"/>
      <w:bookmarkEnd w:id="69"/>
      <w:r>
        <w:rPr>
          <w:color w:val="333333"/>
          <w:sz w:val="28"/>
          <w:szCs w:val="28"/>
        </w:rPr>
        <w:t>3.1. Служба має право:</w:t>
      </w:r>
    </w:p>
    <w:p w14:paraId="53D482A1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0" w:name="n89"/>
      <w:bookmarkEnd w:id="70"/>
      <w:r>
        <w:rPr>
          <w:color w:val="333333"/>
          <w:sz w:val="28"/>
          <w:szCs w:val="28"/>
        </w:rPr>
        <w:t>1) приймати з питань, що належать до її компетенції, рішення, які є обов’язковими для виконання місцевими органами виконавчої влади, органами місцевого самоврядування, підприємствами, установами та організаціями незалежно від форми власності, посадовими особами, фізичними особами;</w:t>
      </w:r>
    </w:p>
    <w:p w14:paraId="1AA43049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1" w:name="n90"/>
      <w:bookmarkEnd w:id="71"/>
      <w:r>
        <w:rPr>
          <w:color w:val="333333"/>
          <w:sz w:val="28"/>
          <w:szCs w:val="28"/>
        </w:rPr>
        <w:t>2) отримувати повідомлення від місцевих органів виконавчої влади та органів місцевого самоврядування, підприємств, установ та організацій незалежно від форми власності, посадових осіб про заходи, вжиті на виконання прийнятих службою рішень;</w:t>
      </w:r>
    </w:p>
    <w:p w14:paraId="27DD132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2" w:name="n91"/>
      <w:bookmarkEnd w:id="72"/>
      <w:r>
        <w:rPr>
          <w:color w:val="333333"/>
          <w:sz w:val="28"/>
          <w:szCs w:val="28"/>
        </w:rPr>
        <w:t>3) отримувати в установленому порядку від місцевих органів виконавчої влади, органів місцевого самоврядування, підприємств, установ та організацій незалежно від форми власності інформацію, документи та інші матеріали з питань, що належать до компетенції служби; від місцевих органів державної статистики - статистичні дані, необхідні для виконання визначених для неї завдань;</w:t>
      </w:r>
    </w:p>
    <w:p w14:paraId="673550B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3" w:name="n92"/>
      <w:bookmarkEnd w:id="73"/>
      <w:r>
        <w:rPr>
          <w:color w:val="333333"/>
          <w:sz w:val="28"/>
          <w:szCs w:val="28"/>
        </w:rPr>
        <w:t>4) звертатися щодо фактів порушення прав та інтересів дітей до місцевих органів виконавчої влади, органів місцевого самоврядування, підприємств, установ та організацій незалежно від форми власності в разі виявлення таких фактів;</w:t>
      </w:r>
    </w:p>
    <w:p w14:paraId="0366F64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4" w:name="n93"/>
      <w:bookmarkEnd w:id="74"/>
      <w:r>
        <w:rPr>
          <w:color w:val="333333"/>
          <w:sz w:val="28"/>
          <w:szCs w:val="28"/>
        </w:rPr>
        <w:t>5) перевіряти стан роботи із соціально-правового захисту дітей у закладах для дітей-сиріт та дітей, позбавлених батьківського піклування, спеціальних установах і закладах соціального захисту для дітей незалежно від форми власності, стан виховної роботи з дітьми у закладах освіти за місцем проживання, а також у разі необхідності - умови роботи працівників віком до 18 років на підприємствах, в установах та організаціях незалежно від форми власності;</w:t>
      </w:r>
    </w:p>
    <w:p w14:paraId="2003655A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5" w:name="n94"/>
      <w:bookmarkEnd w:id="75"/>
      <w:r>
        <w:rPr>
          <w:color w:val="333333"/>
          <w:sz w:val="28"/>
          <w:szCs w:val="28"/>
        </w:rPr>
        <w:t>6) представляти в разі необхідності інтереси дітей у судах, у їх взаємодії з підприємствами, установами та організаціями незалежно від форми власності, брати участь у розгляді судами справ щодо дітей і захисту їхніх прав та інтересів;</w:t>
      </w:r>
    </w:p>
    <w:p w14:paraId="3D53F9D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6" w:name="n95"/>
      <w:bookmarkEnd w:id="76"/>
      <w:r>
        <w:rPr>
          <w:color w:val="333333"/>
          <w:sz w:val="28"/>
          <w:szCs w:val="28"/>
        </w:rPr>
        <w:t>7) запрошувати для бесіди батьків, інших законних представників дітей, посадових осіб з метою з’ясування причин та умов, які призвели до порушення прав дітей, бездоглядності та безпритульності, вчинення правопорушень, і вживати заходів щодо усунення причин;</w:t>
      </w:r>
    </w:p>
    <w:p w14:paraId="59A3DC1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7" w:name="n96"/>
      <w:bookmarkEnd w:id="77"/>
      <w:r>
        <w:rPr>
          <w:color w:val="333333"/>
          <w:sz w:val="28"/>
          <w:szCs w:val="28"/>
        </w:rPr>
        <w:t xml:space="preserve">8)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рішень, прийнятих службою, </w:t>
      </w:r>
      <w:proofErr w:type="spellStart"/>
      <w:r>
        <w:rPr>
          <w:color w:val="333333"/>
          <w:sz w:val="28"/>
          <w:szCs w:val="28"/>
        </w:rPr>
        <w:t>Нацсоцслужбою</w:t>
      </w:r>
      <w:proofErr w:type="spellEnd"/>
      <w:r>
        <w:rPr>
          <w:color w:val="333333"/>
          <w:sz w:val="28"/>
          <w:szCs w:val="28"/>
        </w:rPr>
        <w:t>;</w:t>
      </w:r>
    </w:p>
    <w:p w14:paraId="7E3FEA72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8" w:name="n97"/>
      <w:bookmarkEnd w:id="78"/>
      <w:r>
        <w:rPr>
          <w:color w:val="333333"/>
          <w:sz w:val="28"/>
          <w:szCs w:val="28"/>
        </w:rPr>
        <w:t>9)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осіб, які допустили порушення прав, свобод і законних інтересів дітей;</w:t>
      </w:r>
    </w:p>
    <w:p w14:paraId="7512142B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79" w:name="n98"/>
      <w:bookmarkEnd w:id="79"/>
      <w:r>
        <w:rPr>
          <w:color w:val="333333"/>
          <w:sz w:val="28"/>
          <w:szCs w:val="28"/>
        </w:rPr>
        <w:t>10) укладати в установленому порядку угоди про співпрацю з науковими установами, громадськими об’єднаннями і благодійними організаціями з питань, які належать до компетенції служби;</w:t>
      </w:r>
    </w:p>
    <w:p w14:paraId="519CA018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0" w:name="n99"/>
      <w:bookmarkEnd w:id="80"/>
      <w:r>
        <w:rPr>
          <w:color w:val="333333"/>
          <w:sz w:val="28"/>
          <w:szCs w:val="28"/>
        </w:rPr>
        <w:t>11) скликати в установленому порядку наради, конференції, семінари з питань, що належать до компетенції Служби;</w:t>
      </w:r>
    </w:p>
    <w:p w14:paraId="00B696E8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1" w:name="n100"/>
      <w:bookmarkEnd w:id="81"/>
      <w:r>
        <w:rPr>
          <w:color w:val="333333"/>
          <w:sz w:val="28"/>
          <w:szCs w:val="28"/>
        </w:rPr>
        <w:lastRenderedPageBreak/>
        <w:t>12) проводити особистий прийом дітей, а також їхніх батьків, інших законних представників, розглядати їхні звернення з питань, що належать до компетенції Служби;</w:t>
      </w:r>
    </w:p>
    <w:p w14:paraId="77C8021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2" w:name="n101"/>
      <w:bookmarkEnd w:id="82"/>
      <w:r>
        <w:rPr>
          <w:color w:val="333333"/>
          <w:sz w:val="28"/>
          <w:szCs w:val="28"/>
        </w:rPr>
        <w:t>13) визначати потребу в утворенні спеціальних установ і закладів соціального захисту дітей;</w:t>
      </w:r>
    </w:p>
    <w:p w14:paraId="4F062FC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3" w:name="n102"/>
      <w:bookmarkEnd w:id="83"/>
      <w:r>
        <w:rPr>
          <w:color w:val="333333"/>
          <w:sz w:val="28"/>
          <w:szCs w:val="28"/>
        </w:rPr>
        <w:t>14) відвідувати дітей, які перебувають в Службі на обліку дітей, як такі, які перебувають у складних життєвих обставинах, за місцем їх проживання, навчання і роботи; вживати заходів щодо соціального захисту таких дітей;</w:t>
      </w:r>
    </w:p>
    <w:p w14:paraId="3B6507C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4" w:name="n103"/>
      <w:bookmarkEnd w:id="84"/>
      <w:r>
        <w:rPr>
          <w:color w:val="333333"/>
          <w:sz w:val="28"/>
          <w:szCs w:val="28"/>
        </w:rPr>
        <w:t>15) проводити інспекційні відвідування одержувачів аліментів із метою контролю за цільовим витрачанням аліментів.</w:t>
      </w:r>
    </w:p>
    <w:p w14:paraId="2DE7D5CD" w14:textId="77777777" w:rsidR="003C4024" w:rsidRDefault="003C4024" w:rsidP="003C4024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color w:val="333333"/>
        </w:rPr>
      </w:pPr>
      <w:bookmarkStart w:id="85" w:name="n104"/>
      <w:bookmarkEnd w:id="85"/>
      <w:r>
        <w:rPr>
          <w:rStyle w:val="rvts15"/>
          <w:b/>
          <w:bCs/>
          <w:color w:val="333333"/>
          <w:sz w:val="28"/>
          <w:szCs w:val="28"/>
        </w:rPr>
        <w:t>IV. Організація роботи Служби</w:t>
      </w:r>
    </w:p>
    <w:p w14:paraId="3201ED0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6" w:name="n105"/>
      <w:bookmarkEnd w:id="86"/>
      <w:r>
        <w:rPr>
          <w:color w:val="333333"/>
          <w:sz w:val="28"/>
          <w:szCs w:val="28"/>
        </w:rPr>
        <w:t>4.1.</w:t>
      </w:r>
      <w:r>
        <w:rPr>
          <w:color w:val="333333"/>
        </w:rPr>
        <w:t xml:space="preserve"> </w:t>
      </w:r>
      <w:r>
        <w:rPr>
          <w:color w:val="333333"/>
          <w:sz w:val="28"/>
          <w:szCs w:val="28"/>
        </w:rPr>
        <w:t>Служба під час виконання визначених для неї завдань взаємодіє з місцевими органами виконавчої влади, органами місцевого самоврядування, органами обласної державних адміністрацій, депутатами міської ради, підприємствами, установами та організаціями незалежно від форми власності, громадськими об’єднаннями, благодійними організаціями та фізичними особами.</w:t>
      </w:r>
    </w:p>
    <w:p w14:paraId="0EEEA09A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7" w:name="n106"/>
      <w:bookmarkEnd w:id="87"/>
      <w:r>
        <w:rPr>
          <w:color w:val="333333"/>
          <w:sz w:val="28"/>
          <w:szCs w:val="28"/>
        </w:rPr>
        <w:t>4.2. Службу очолює начальник, який призначається на посаду і звільняється з посади згідно з розпорядженням міського голови з дотриманням вимог Законів України </w:t>
      </w:r>
      <w:hyperlink r:id="rId10" w:tgtFrame="_blank" w:history="1">
        <w:r>
          <w:rPr>
            <w:rStyle w:val="a3"/>
            <w:color w:val="auto"/>
            <w:sz w:val="28"/>
            <w:szCs w:val="28"/>
            <w:u w:val="none"/>
          </w:rPr>
          <w:t>«Про службу в органах місцевого самоврядування»</w:t>
        </w:r>
      </w:hyperlink>
      <w:r>
        <w:rPr>
          <w:sz w:val="28"/>
          <w:szCs w:val="28"/>
        </w:rPr>
        <w:t> та </w:t>
      </w:r>
      <w:hyperlink r:id="rId11" w:tgtFrame="_blank" w:history="1">
        <w:r>
          <w:rPr>
            <w:rStyle w:val="a3"/>
            <w:color w:val="auto"/>
            <w:sz w:val="28"/>
            <w:szCs w:val="28"/>
            <w:u w:val="none"/>
          </w:rPr>
          <w:t>«Про місцеве самоврядування в Україні»</w:t>
        </w:r>
      </w:hyperlink>
      <w:r>
        <w:rPr>
          <w:sz w:val="28"/>
          <w:szCs w:val="28"/>
        </w:rPr>
        <w:t>.</w:t>
      </w:r>
    </w:p>
    <w:p w14:paraId="7393E7D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8" w:name="n107"/>
      <w:bookmarkEnd w:id="88"/>
      <w:r>
        <w:rPr>
          <w:color w:val="333333"/>
          <w:sz w:val="28"/>
          <w:szCs w:val="28"/>
        </w:rPr>
        <w:t>4.3. Начальник Служби може мати заступників, які за його поданням призначаються на посаду і звільняються з посади згідно з розпорядженням міського голови.</w:t>
      </w:r>
    </w:p>
    <w:p w14:paraId="0C332B22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9" w:name="n108"/>
      <w:bookmarkEnd w:id="89"/>
      <w:r>
        <w:rPr>
          <w:color w:val="333333"/>
          <w:sz w:val="28"/>
          <w:szCs w:val="28"/>
        </w:rPr>
        <w:t>4.4. Начальник Служби:</w:t>
      </w:r>
    </w:p>
    <w:p w14:paraId="220A780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0" w:name="n109"/>
      <w:bookmarkEnd w:id="90"/>
      <w:r>
        <w:rPr>
          <w:color w:val="333333"/>
          <w:sz w:val="28"/>
          <w:szCs w:val="28"/>
        </w:rPr>
        <w:t>- здійснює керівництво Службою, персонально відповідає за виконання визначених для неї завдань, за роботу підпорядкованих службі закладів;</w:t>
      </w:r>
    </w:p>
    <w:p w14:paraId="06AB01E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1" w:name="n110"/>
      <w:bookmarkEnd w:id="91"/>
      <w:r>
        <w:rPr>
          <w:color w:val="333333"/>
          <w:sz w:val="28"/>
          <w:szCs w:val="28"/>
        </w:rPr>
        <w:t>- планує роботу Служби і забезпечує виконання перспективних і поточних планів роботи;</w:t>
      </w:r>
    </w:p>
    <w:p w14:paraId="6975BE1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2" w:name="n111"/>
      <w:bookmarkEnd w:id="92"/>
      <w:r>
        <w:rPr>
          <w:color w:val="333333"/>
          <w:sz w:val="28"/>
          <w:szCs w:val="28"/>
        </w:rPr>
        <w:t>- видає у межах своєї компетенції накази, організовує і контролює їх виконання;</w:t>
      </w:r>
    </w:p>
    <w:p w14:paraId="650A156D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3" w:name="n112"/>
      <w:bookmarkEnd w:id="93"/>
      <w:r>
        <w:rPr>
          <w:color w:val="333333"/>
          <w:sz w:val="28"/>
          <w:szCs w:val="28"/>
        </w:rPr>
        <w:t>- подає на затвердження міському голові кошторис і штатний розпис Служби в межах граничної чисельності та фонду оплати праці працівників;</w:t>
      </w:r>
    </w:p>
    <w:p w14:paraId="4EE4E2B8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4" w:name="n113"/>
      <w:bookmarkEnd w:id="94"/>
      <w:r>
        <w:rPr>
          <w:color w:val="333333"/>
          <w:sz w:val="28"/>
          <w:szCs w:val="28"/>
        </w:rPr>
        <w:t>- затверджує положення про структурні підрозділи та функціональні обов’язки працівників Служби, визначає завдання працівникам Служби і розподіляє між ними обов’язки;</w:t>
      </w:r>
    </w:p>
    <w:p w14:paraId="3DDA8AC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5" w:name="n114"/>
      <w:bookmarkEnd w:id="95"/>
      <w:r>
        <w:rPr>
          <w:color w:val="333333"/>
          <w:sz w:val="28"/>
          <w:szCs w:val="28"/>
        </w:rPr>
        <w:t>- аналізує показники роботи Служби, вживає заходів щодо підвищення ефективності роботи Служби, забезпечує підвищення кваліфікації працівників;</w:t>
      </w:r>
    </w:p>
    <w:p w14:paraId="040BD22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6" w:name="n115"/>
      <w:bookmarkEnd w:id="96"/>
      <w:r>
        <w:rPr>
          <w:color w:val="333333"/>
          <w:sz w:val="28"/>
          <w:szCs w:val="28"/>
        </w:rPr>
        <w:t>- розпоряджається коштами в межах затвердженого кошторису Служби;</w:t>
      </w:r>
    </w:p>
    <w:p w14:paraId="54893F43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організовує роботу з підвищення рівня професійної компетентності працівників Служби;</w:t>
      </w:r>
    </w:p>
    <w:p w14:paraId="304CD02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проводить особистий прийом громадян з питань, що належить до повноважень Служби;</w:t>
      </w:r>
    </w:p>
    <w:p w14:paraId="0DDAF1DE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забезпечує дотримання працівниками Служби правил внутрішнього трудового розпорядку та виконавської дисципліни;</w:t>
      </w:r>
    </w:p>
    <w:p w14:paraId="237D88D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звітує перед міським головою про виконання покладених на Службу завдань та затверджених планів роботи;</w:t>
      </w:r>
    </w:p>
    <w:p w14:paraId="21F8A7D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здійснює інші повноваження, визначені чинним законодавством України.</w:t>
      </w:r>
    </w:p>
    <w:p w14:paraId="5B4B6188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7" w:name="n116"/>
      <w:bookmarkEnd w:id="97"/>
      <w:r>
        <w:rPr>
          <w:color w:val="333333"/>
          <w:sz w:val="28"/>
          <w:szCs w:val="28"/>
        </w:rPr>
        <w:t>4.5. Якщо в Службі на обліку дітей, які залишились без батьківського піклування, дітей-сиріт та дітей, позбавлених батьківського піклування, перебувають діти-сироти та діти, позбавлені батьківського піклування, або якщо діти-сироти та діти, позбавлені батьківського піклування, проживають у територіальній громаді, у такій Службі для виконання функцій щодо забезпечення їх влаштування у різні форми виховання утворюється окремий підрозділ. Штатна чисельність працівників служб, які забезпечують провадження діяльності з усиновлення, установлюється в межах граничної чисельності працівників (не менше ніж дві особи) з розрахунку один працівник на 50 дітей, які перебувають у такій службі на обліку дітей, що можуть бути усиновлені.</w:t>
      </w:r>
    </w:p>
    <w:p w14:paraId="75E97F5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8" w:name="n117"/>
      <w:bookmarkEnd w:id="98"/>
      <w:r>
        <w:rPr>
          <w:color w:val="333333"/>
          <w:sz w:val="28"/>
          <w:szCs w:val="28"/>
        </w:rPr>
        <w:t>4.6. Для прийняття узгоджених рішень з питань, що належать до компетенції Служби, в ній може утворюватися колегія у складі начальника служби (голова колегії), його заступників, керівників виконавчих органів міської ради, органів Національної поліції, представників підприємств, установ, громадських об’єднань.</w:t>
      </w:r>
    </w:p>
    <w:p w14:paraId="19C7EE46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9" w:name="n118"/>
      <w:bookmarkEnd w:id="99"/>
      <w:r>
        <w:rPr>
          <w:color w:val="333333"/>
          <w:sz w:val="28"/>
          <w:szCs w:val="28"/>
        </w:rPr>
        <w:t>Склад колегії затверджується міським головою за поданням начальника Служби.</w:t>
      </w:r>
    </w:p>
    <w:p w14:paraId="260CC507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0" w:name="n119"/>
      <w:bookmarkEnd w:id="100"/>
      <w:r>
        <w:rPr>
          <w:color w:val="333333"/>
          <w:sz w:val="28"/>
          <w:szCs w:val="28"/>
        </w:rPr>
        <w:t>Рішення колегії оформляються наказами начальника Служби.</w:t>
      </w:r>
    </w:p>
    <w:p w14:paraId="52EF6FF7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1" w:name="n120"/>
      <w:bookmarkEnd w:id="101"/>
      <w:r>
        <w:rPr>
          <w:color w:val="333333"/>
          <w:sz w:val="28"/>
          <w:szCs w:val="28"/>
        </w:rPr>
        <w:t>4.7. Для розгляду наукових рекомендацій і пропозицій щодо поліпшення діяльності та розв’язання інших питань у Службі можуть утворюватися наукові та координаційні ради та комісії.</w:t>
      </w:r>
    </w:p>
    <w:p w14:paraId="46A72914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2" w:name="n121"/>
      <w:bookmarkEnd w:id="102"/>
      <w:r>
        <w:rPr>
          <w:color w:val="333333"/>
          <w:sz w:val="28"/>
          <w:szCs w:val="28"/>
        </w:rPr>
        <w:t>Склад цих рад і комісій та положення про них затверджує начальник Служби.</w:t>
      </w:r>
    </w:p>
    <w:p w14:paraId="15DFAFA5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3" w:name="n122"/>
      <w:bookmarkEnd w:id="103"/>
      <w:r>
        <w:rPr>
          <w:color w:val="333333"/>
          <w:sz w:val="28"/>
          <w:szCs w:val="28"/>
        </w:rPr>
        <w:t>4.8. Утримання служби здійснюється відповідно до законодавства.</w:t>
      </w:r>
    </w:p>
    <w:p w14:paraId="41621C71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4" w:name="n123"/>
      <w:bookmarkEnd w:id="104"/>
      <w:r>
        <w:rPr>
          <w:color w:val="333333"/>
          <w:sz w:val="28"/>
          <w:szCs w:val="28"/>
        </w:rPr>
        <w:t>4.9. Матеріально-технічне забезпечення служби здійснюється за рахунок коштів міського бюджету.</w:t>
      </w:r>
    </w:p>
    <w:p w14:paraId="6BE9EA2C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5" w:name="n124"/>
      <w:bookmarkEnd w:id="105"/>
      <w:r>
        <w:rPr>
          <w:color w:val="333333"/>
          <w:sz w:val="28"/>
          <w:szCs w:val="28"/>
        </w:rPr>
        <w:t>4.10. Штатний розпис служби затверджується міським головою у межах структури та граничної чисельності Служби.</w:t>
      </w:r>
    </w:p>
    <w:p w14:paraId="07C992FF" w14:textId="77777777" w:rsidR="003C4024" w:rsidRDefault="003C4024" w:rsidP="003C402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6" w:name="n125"/>
      <w:bookmarkEnd w:id="106"/>
      <w:r>
        <w:rPr>
          <w:color w:val="333333"/>
          <w:sz w:val="28"/>
          <w:szCs w:val="28"/>
        </w:rPr>
        <w:t>4.11. Гранична чисельність працівників Служби затверджуються рішенням міської ради.</w:t>
      </w:r>
    </w:p>
    <w:p w14:paraId="5B190199" w14:textId="77777777" w:rsidR="003C4024" w:rsidRDefault="003C4024" w:rsidP="003C4024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b/>
          <w:bCs/>
          <w:sz w:val="28"/>
          <w:szCs w:val="28"/>
        </w:rPr>
      </w:pPr>
    </w:p>
    <w:p w14:paraId="695F36ED" w14:textId="77777777" w:rsidR="003C4024" w:rsidRDefault="003C4024" w:rsidP="003C4024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b/>
          <w:bCs/>
          <w:sz w:val="28"/>
          <w:szCs w:val="28"/>
        </w:rPr>
      </w:pPr>
    </w:p>
    <w:p w14:paraId="04CB14F7" w14:textId="77777777" w:rsidR="003C4024" w:rsidRDefault="003C4024" w:rsidP="003C4024">
      <w:pPr>
        <w:rPr>
          <w:rFonts w:ascii="Times New Roman" w:eastAsiaTheme="minorEastAsia" w:hAnsi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/>
          <w:b/>
          <w:sz w:val="28"/>
          <w:szCs w:val="28"/>
          <w:lang w:eastAsia="uk-UA"/>
        </w:rPr>
        <w:t>Секретар міської ради                                                                 Лідія ОВЕРЧУК</w:t>
      </w:r>
    </w:p>
    <w:p w14:paraId="371799DC" w14:textId="77777777" w:rsidR="00E05FF5" w:rsidRDefault="00E05FF5"/>
    <w:sectPr w:rsidR="00E05F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9AA"/>
    <w:rsid w:val="00137A13"/>
    <w:rsid w:val="003C4024"/>
    <w:rsid w:val="007619AA"/>
    <w:rsid w:val="00B03E0B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61B83"/>
  <w15:chartTrackingRefBased/>
  <w15:docId w15:val="{B0D19D4B-9730-41ED-9450-084F5E30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02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4024"/>
    <w:rPr>
      <w:color w:val="0000FF"/>
      <w:u w:val="single"/>
    </w:rPr>
  </w:style>
  <w:style w:type="paragraph" w:customStyle="1" w:styleId="rvps7">
    <w:name w:val="rvps7"/>
    <w:basedOn w:val="a"/>
    <w:rsid w:val="003C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3C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3C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9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-1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8073-1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8073-10" TargetMode="External"/><Relationship Id="rId11" Type="http://schemas.openxmlformats.org/officeDocument/2006/relationships/hyperlink" Target="https://zakon.rada.gov.ua/laws/show/280/97-%D0%B2%D1%80" TargetMode="External"/><Relationship Id="rId5" Type="http://schemas.openxmlformats.org/officeDocument/2006/relationships/hyperlink" Target="https://zakon.rada.gov.ua/laws/show/2229-19" TargetMode="External"/><Relationship Id="rId10" Type="http://schemas.openxmlformats.org/officeDocument/2006/relationships/hyperlink" Target="https://zakon.rada.gov.ua/laws/show/2493-14" TargetMode="External"/><Relationship Id="rId4" Type="http://schemas.openxmlformats.org/officeDocument/2006/relationships/hyperlink" Target="https://zakon.rada.gov.ua/laws/show/254%D0%BA/96-%D0%B2%D1%80" TargetMode="External"/><Relationship Id="rId9" Type="http://schemas.openxmlformats.org/officeDocument/2006/relationships/hyperlink" Target="https://zakon.rada.gov.ua/laws/show/8073-1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16376</Words>
  <Characters>9335</Characters>
  <Application>Microsoft Office Word</Application>
  <DocSecurity>0</DocSecurity>
  <Lines>77</Lines>
  <Paragraphs>51</Paragraphs>
  <ScaleCrop>false</ScaleCrop>
  <Company/>
  <LinksUpToDate>false</LinksUpToDate>
  <CharactersWithSpaces>25660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dcterms:created xsi:type="dcterms:W3CDTF">2026-05-05T13:48:00Z</dcterms:created>
  <dcterms:modified xsi:type="dcterms:W3CDTF">2026-05-08T12:57:00Z</dcterms:modified>
</cp:coreProperties>
</file>